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MeistVoEigAnerkV</w:t>
      </w:r>
    </w:p>
    <w:p>
      <w:r>
        <w:rPr>
          <w:color w:val="555555"/>
          <w:sz w:val="18"/>
        </w:rPr>
        <w:t xml:space="preserve">Verordnung über die Anerkennung von Ausbildungsabschlüssen von Meistern der volkseigenen Industrie als Voraussetzung für die Eintragung in die Handwerksrolle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7 Abs. 2 der Handwerksordnung in der Fassung der Bekanntmachung vom 28. Dezember 1965 (BGBl. 1966 I S. 1) in Verbindung mit Anlage I Kapitel V Sachgebiet B Abschnitt III Nr. 1 Buchstabe n des Einigungsvertrages vom 31. August 1990 in Verbindung mit Artikel 1 des Gesetzes vom 23. September 1990 (BGBl. 1990 II S. 885, 999) verordnet der Bundesminister für Wirtschaft:</w:t>
      </w:r>
    </w:p>
    <w:p>
      <w:r>
        <w:rPr>
          <w:color w:val="555555"/>
          <w:sz w:val="17"/>
        </w:rPr>
        <w:t xml:space="preserve">Zitiervorschlag: Eingangsformel MeistVoEigAnerkV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https://recht.nulegal.eu/gesetze/MeistVoEigAnerkV/eingangsformel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