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MeistPrFRGlV</w:t>
      </w:r>
    </w:p>
    <w:p>
      <w:r>
        <w:rPr>
          <w:color w:val="555555"/>
          <w:sz w:val="18"/>
        </w:rPr>
        <w:t xml:space="preserve">Verordnung zur Gleichstellung französischer Meisterprüfungszeugnisse mit Meisterprüfungszeugnissen im Handwerk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50a der Handwerksordnung in der Fassung der Bekanntmachung vom 28. Dezember 1965 (BGBl. 1966 I S. 1), der durch Artikel 1 Nr. 28 des Gesetzes vom 20. Dezember 1993 (BGBl. I S. 2256) eingefügt worden ist, in Verbindung mit Artikel 56 Abs. 1 des Zuständigkeitsanpassungs-Gesetzes vom 18. März 1975 (BGBl. I S. 705) und dem Organisationserlaß vom 17. November 1994 (BGBl. I S. 3667) verordnet das Bundesministerium für Wirtschaft im Einvernehmen mit dem Bundesministerium für Bildung, Wissenschaft, Forschung und Technologie:</w:t>
      </w:r>
    </w:p>
    <w:p>
      <w:r>
        <w:rPr>
          <w:color w:val="555555"/>
          <w:sz w:val="17"/>
        </w:rPr>
        <w:t xml:space="preserve">Zitiervorschlag: Eingangsformel MeistPrFRGlV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https://recht.nulegal.eu/gesetze/MeistPrFRGlV/eingangsformel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