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MeistPrFRGlV — Inkrafttreten</w:t>
      </w:r>
    </w:p>
    <w:p>
      <w:r>
        <w:rPr>
          <w:color w:val="555555"/>
          <w:sz w:val="18"/>
        </w:rPr>
        <w:t xml:space="preserve">Verordnung zur Gleichstellung französischer Meisterprüfungszeugnisse mit Meisterprüfungszeugnissen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MeistPrFRGlV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https://recht.nulegal.eu/gesetze/MeistPrFRGlV/2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