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Medienaufsichtsgesetz (Brandenburg)</w:t>
      </w:r>
    </w:p>
    <w:p>
      <w:r>
        <w:rPr>
          <w:color w:val="555555"/>
          <w:sz w:val="18"/>
        </w:rPr>
        <w:t xml:space="preserve">Gesetz zur Durchführung des Rundfunkstaatsvertrages und des Jugendmedienschutz-Staatsvertrages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Zuständiger Träger der Jugendhilfe gemäß § 19 Absatz 3 Nummer 4 des Jugendmedienschutz-Staatsvertrages ist das für Jugend zuständige Ministerium des Landes Brandenburg.</w:t>
      </w:r>
    </w:p>
    <w:p>
      <w:r>
        <w:rPr>
          <w:color w:val="555555"/>
          <w:sz w:val="17"/>
        </w:rPr>
        <w:t xml:space="preserve">Zitiervorschlag: § 4 Medienaufsichtsgesetz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https://recht.nulegal.eu/gesetze/Medienaufsichtsgesetz/4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