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MedienKfmAusbV</w:t>
      </w:r>
    </w:p>
    <w:p>
      <w:r>
        <w:rPr>
          <w:color w:val="555555"/>
          <w:sz w:val="18"/>
        </w:rPr>
        <w:t xml:space="preserve">Verordnung über die Berufsausbildung zum Medienkaufmann Digital und Print/zur Medienkauffrau Digital und Print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in Verbindung mit § 5 des Berufsbildungsgesetzes vom 23. März 2005 (BGBl. I S. 931) und mit § 1 des Zuständigkeitsanpassungsgesetzes vom 16. August 2002 (BGBl. I S. 3165) sowie dem Organisationserlass vom 22. November 2005 (BGBl. I S. 3197)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MedienKfmAusbV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https://recht.nulegal.eu/gesetze/MedienKfmAusbV/eingangsformel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MedienKfmAusbV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