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MedienFortbV</w:t>
      </w:r>
    </w:p>
    <w:p>
      <w:r>
        <w:rPr>
          <w:color w:val="555555"/>
          <w:sz w:val="18"/>
        </w:rPr>
        <w:t xml:space="preserve">Medien-Fortbildungsverordnung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Auf Grund des § 53 Absatz 1 in Verbindung mit Absatz 2 des Berufsbildungsgesetzes vom 23. März 2005 (BGBl. I S. 931), dessen Absatz 1 durch Artikel 232 Nummer 3 Buchstabe a der Verordnung vom 31. Oktober 2006 (BGBl. I S. 2407) geändert worden ist, verordnet das Bundesministerium für Bildung und Forschung nach Anhörung des Hauptausschusses des Bundesinstituts für Berufsbildung im Einvernehmen mit dem Bundesministerium für Wirtschaft und Technologie:</w:t>
      </w:r>
    </w:p>
    <w:p>
      <w:r>
        <w:rPr>
          <w:color w:val="555555"/>
          <w:sz w:val="17"/>
        </w:rPr>
        <w:t xml:space="preserve">Zitiervorschlag: Eingangsformel MedienFortbV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https://recht.nulegal.eu/gesetze/MedienFortbV/eingangsformel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