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MedienFortbV — Umfang der Industriemeisterqualifikation und Gliederung der Prüfung</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Die Qualifikation zum Geprüften Industriemeister/zur Geprüften Industriemeisterin – Fachrichtung Printmedien umfasst:</w:t>
      </w:r>
    </w:p>
    <w:p>
      <w:pPr>
        <w:ind w:left="420"/>
      </w:pPr>
      <w:r>
        <w:t xml:space="preserve">1. Berufs- und arbeitspädagogische Qualifikationen,</w:t>
      </w:r>
    </w:p>
    <w:p>
      <w:pPr>
        <w:ind w:left="420"/>
      </w:pPr>
      <w:r>
        <w:t xml:space="preserve">2. Grundlegende Qualifikationen,</w:t>
      </w:r>
    </w:p>
    <w:p>
      <w:pPr>
        <w:ind w:left="420"/>
      </w:pPr>
      <w:r>
        <w:t xml:space="preserve">3. Handlungsspezifische Qualifikationen.</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Industriemeister/zur Geprüften Industriemeisterin – Fachrichtung Printmedien gliedert sich in die Prüfungsteile:</w:t>
      </w:r>
    </w:p>
    <w:p>
      <w:pPr>
        <w:ind w:left="420"/>
      </w:pPr>
      <w:r>
        <w:t xml:space="preserve">1. Grundlegende Qualifikationen,</w:t>
      </w:r>
    </w:p>
    <w:p>
      <w:pPr>
        <w:ind w:left="420"/>
      </w:pPr>
      <w:r>
        <w:t xml:space="preserve">2. Handlungsspezifische Qualifikationen.</w:t>
      </w:r>
    </w:p>
    <w:p>
      <w:r>
        <w:t xml:space="preserve">(4) Im Prüfungsteil nach Absatz 3 Nummer 1 ist schriftlich in Form von anwendungsbezogenen Aufgabenstellungen nach § 5 zu prüfen.</w:t>
      </w:r>
    </w:p>
    <w:p>
      <w:r>
        <w:t xml:space="preserve">(5) Im Prüfungsteil nach Absatz 3 Nummer 2 ist schriftlich in Form von Situationsaufgaben sowie einer praxisorientierten Gesamtplanung, einer mündlichen Präsentation der Gesamtplanung einschließlich eines Fachgesprächs nach § 6 zu prüfen.</w:t>
      </w:r>
    </w:p>
    <w:p>
      <w:r>
        <w:rPr>
          <w:color w:val="555555"/>
          <w:sz w:val="17"/>
        </w:rPr>
        <w:t xml:space="preserve">Zitiervorschlag: § 3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