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MedienFortbV — Zulassungsvoraussetzungen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Zur Prüfung im Prüfungsteil „Grundlegende Qualifikationen“ ist zuzulassen, wer Folgendes nachweist:</w:t>
      </w:r>
    </w:p>
    <w:p>
      <w:pPr>
        <w:ind w:left="420"/>
      </w:pPr>
      <w:r>
        <w:t xml:space="preserve">1. eine mit Erfolg abgelegte Abschlussprüfung in einem anerkannten Ausbildungsberuf, der der Druck- und Medienwirtschaft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in den in Absatz 1 Nummer 1 bis 3 genannten Fällen mindestens ein weiteres Jahr Berufspraxis.</w:t>
      </w:r>
    </w:p>
    <w:p>
      <w:r>
        <w:t xml:space="preserve">(3) Die Berufspraxis nach den Absätzen 1 und 2 soll wesentliche Bezüge zu den Aufgaben eines Geprüften Medienfachwirts Digital/einer Geprüften Medienfachwirtin Digital nach § 16 Absatz 3 haben.</w:t>
      </w:r>
    </w:p>
    <w:p>
      <w:r>
        <w:t xml:space="preserve">(4) Abweichend von den in den Absätzen 1 und 2 Nummer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18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