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MedienFortbV — Zulassungsvoraussetzungen</w:t>
      </w:r>
    </w:p>
    <w:p>
      <w:r>
        <w:rPr>
          <w:color w:val="555555"/>
          <w:sz w:val="18"/>
        </w:rPr>
        <w:t xml:space="preserve">Medien-Fortbildungsverordnung</w:t>
      </w:r>
    </w:p>
    <w:p>
      <w:r>
        <w:rPr>
          <w:color w:val="555555"/>
          <w:sz w:val="18"/>
        </w:rPr>
        <w:t xml:space="preserve">Historische Fassung: Stand 10.06.2019 bis 02.01.2020. Dies ist nicht die aktuelle Fassung.</w:t>
      </w:r>
    </w:p>
    <w:p>
      <w:r>
        <w:t xml:space="preserve">(1) Zur Prüfung im Prüfungsteil „Grundlegende Qualifikationen“ ist zuzulassen, wer Folgendes nachweist:</w:t>
      </w:r>
    </w:p>
    <w:p>
      <w:pPr>
        <w:ind w:left="420"/>
      </w:pPr>
      <w:r>
        <w:t xml:space="preserve">1. eine mit Erfolg abgelegte Abschlussprüfung in einem anerkannten Ausbildungsberuf, der der Druck- und Medienwirtschaft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des Prüfungsteils „Grundlegende Qualifikationen“, das nicht länger als fünf Jahre zurückliegt, und</w:t>
      </w:r>
    </w:p>
    <w:p>
      <w:pPr>
        <w:ind w:left="420"/>
      </w:pPr>
      <w:r>
        <w:t xml:space="preserve">2. in den in Absatz 1 Nummer 1 bis 3 genannten Fällen mindestens ein weiteres Jahr Berufspraxis.</w:t>
      </w:r>
    </w:p>
    <w:p>
      <w:r>
        <w:t xml:space="preserve">(3) Die Berufspraxis nach den Absätzen 1 und 2 soll wesentliche Bezüge zu den Aufgaben eines Geprüften Medienfachwirtes Print/einer Geprüften Medienfachwirtin Print nach § 9 Absatz 3 haben.</w:t>
      </w:r>
    </w:p>
    <w:p>
      <w:r>
        <w:t xml:space="preserve">(4) Abweichend von den in den Absätzen 1 und 2 Nummer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11 MedienFortbV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https://recht.nulegal.eu/gesetze/MedienFortbV/11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