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MedienBTMstrPrV — Zulassungsvoraussetzungen</w:t>
      </w:r>
    </w:p>
    <w:p>
      <w:r>
        <w:rPr>
          <w:color w:val="555555"/>
          <w:sz w:val="18"/>
        </w:rPr>
        <w:t xml:space="preserve">Verordnung über die Prüfung zum anerkannten Fortbildungsabschluss Geprüfter Meister Medienproduktion Bild und Ton und Geprüfte Meisterin Medienproduktion Bild und Ton</w:t>
      </w:r>
    </w:p>
    <w:p>
      <w:r>
        <w:rPr>
          <w:color w:val="555555"/>
          <w:sz w:val="18"/>
        </w:rPr>
        <w:t xml:space="preserve">Historische Fassung: Stand 10.06.2019 bis 28.09.2023. Dies ist nicht die aktuelle Fassung.</w:t>
      </w:r>
    </w:p>
    <w:p>
      <w:r>
        <w:t xml:space="preserve">(1) Zur Prüfung ist zuzulassen, wer</w:t>
      </w:r>
    </w:p>
    <w:p>
      <w:pPr>
        <w:ind w:left="420"/>
      </w:pPr>
      <w:r>
        <w:t xml:space="preserve">1. eine mit Erfolg abgelegte Abschlussprüfung in den anerkannten Ausbildungsberufen Mediengestalter oder Mediengestalterin Bild und Ton oder Film- und Videoeditor oder Film- und Videoeditorin und danach eine mindestens einjährige Berufspraxis oder</w:t>
      </w:r>
    </w:p>
    <w:p>
      <w:pPr>
        <w:ind w:left="420"/>
      </w:pPr>
      <w:r>
        <w:t xml:space="preserve">2. eine mit Erfolg abgelegte Abschlussprüfung in einem sonstigen anerkannten gewerblich-technischen Ausbildungsberuf und danach eine zweijährige Berufspraxis oder</w:t>
      </w:r>
    </w:p>
    <w:p>
      <w:pPr>
        <w:ind w:left="420"/>
      </w:pPr>
      <w:r>
        <w:t xml:space="preserve">3. eine mindestens fünfjährige Berufspraxis nachweist.</w:t>
      </w:r>
    </w:p>
    <w:p>
      <w:r>
        <w:t xml:space="preserve">(2) Die Berufspraxis nach Absatz 1 soll wesentliche Bezüge zu den Aufgaben nach § 1 Absatz 3 aufweisen.</w:t>
      </w:r>
    </w:p>
    <w:p>
      <w:r>
        <w:t xml:space="preserve">(3) Abweichend von den in den Absätzen 1 und 2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MedienBTMstrPrV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https://recht.nulegal.eu/gesetze/MedienBTMstrPrV/3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