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MediationsG — Verschwiegenheitspflicht</w:t>
      </w:r>
    </w:p>
    <w:p>
      <w:r>
        <w:rPr>
          <w:color w:val="555555"/>
          <w:sz w:val="18"/>
        </w:rPr>
        <w:t xml:space="preserve">Mediationsgesetz</w:t>
      </w:r>
    </w:p>
    <w:p>
      <w:r>
        <w:rPr>
          <w:color w:val="555555"/>
          <w:sz w:val="18"/>
        </w:rPr>
        <w:t xml:space="preserve">Stand: 10.06.2019 (konsolidierte Textfassung, kein amtliches Inkrafttretensdatum)</w:t>
      </w:r>
    </w:p>
    <w:p>
      <w:r>
        <w:t xml:space="preserve">Der Mediator und die in die Durchführung des Mediationsverfahrens eingebundenen Personen sind zur Verschwiegenheit verpflichtet, soweit gesetzlich nichts anderes geregelt ist. Diese Pflicht bezieht sich auf alles, was ihnen in Ausübung ihrer Tätigkeit bekannt geworden ist. Ungeachtet anderer gesetzlicher Regelungen über die Verschwiegenheitspflicht gilt sie nicht, soweit</w:t>
      </w:r>
    </w:p>
    <w:p>
      <w:pPr>
        <w:ind w:left="420"/>
      </w:pPr>
      <w:r>
        <w:t xml:space="preserve">1. die Offenlegung des Inhalts der im Mediationsverfahren erzielten Vereinbarung zur Umsetzung oder Vollstreckung dieser Vereinbarung erforderlich ist,</w:t>
      </w:r>
    </w:p>
    <w:p>
      <w:pPr>
        <w:ind w:left="420"/>
      </w:pPr>
      <w:r>
        <w:t xml:space="preserve">2. die Offenlegung aus vorrangigen Gründen der öffentlichen Ordnung (ordre public) geboten ist, insbesondere um eine Gefährdung des Wohles eines Kindes oder eine schwerwiegende Beeinträchtigung der physischen oder psychischen Integrität einer Person abzuwenden, oder</w:t>
      </w:r>
    </w:p>
    <w:p>
      <w:pPr>
        <w:ind w:left="420"/>
      </w:pPr>
      <w:r>
        <w:t xml:space="preserve">3. es sich um Tatsachen handelt, die offenkundig sind oder ihrer Bedeutung nach keiner Geheimhaltung bedürfen.</w:t>
      </w:r>
    </w:p>
    <w:p>
      <w:r>
        <w:t xml:space="preserve">Der Mediator hat die Parteien über den Umfang seiner Verschwiegenheitspflicht zu informieren.</w:t>
      </w:r>
    </w:p>
    <w:p>
      <w:r>
        <w:rPr>
          <w:color w:val="555555"/>
          <w:sz w:val="17"/>
        </w:rPr>
        <w:t xml:space="preserve">Zitiervorschlag: § 4 MediationsG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https://recht.nulegal.eu/gesetze/MediationsG/4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