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MedaillenV</w:t>
      </w:r>
    </w:p>
    <w:p>
      <w:r>
        <w:rPr>
          <w:color w:val="555555"/>
          <w:sz w:val="18"/>
        </w:rPr>
        <w:t xml:space="preserve">Medaillenverordnung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10 des Münzgesetzes, der durch Artikel 6 Nr. 2 des Gesetzes vom 14. September 2005 (BGBl. I S. 2746) neu gefasst worden ist, verordnet das Bundesministerium der Finanzen:</w:t>
      </w:r>
    </w:p>
    <w:p>
      <w:r>
        <w:rPr>
          <w:color w:val="555555"/>
          <w:sz w:val="17"/>
        </w:rPr>
        <w:t xml:space="preserve">Zitiervorschlag: Eingangsformel MedaillenV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https://recht.nulegal.eu/gesetze/MedaillenV/eingangsformel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