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MedaillenV — Ordnungswidrigkeiten</w:t>
      </w:r>
    </w:p>
    <w:p>
      <w:r>
        <w:rPr>
          <w:color w:val="555555"/>
          <w:sz w:val="18"/>
        </w:rPr>
        <w:t xml:space="preserve">Medaillenverordnung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12 Abs. 2 des Münzgesetzes handelt, wer entgegen § 2 eine Medaille oder ein Münzstück herstellt, verkauft, einführt oder zum Verkauf oder zu anderen kommerziellen Zwecken verbreitet.</w:t>
      </w:r>
    </w:p>
    <w:p>
      <w:r>
        <w:rPr>
          <w:color w:val="555555"/>
          <w:sz w:val="17"/>
        </w:rPr>
        <w:t xml:space="preserve">Zitiervorschlag: § 5 MedaillenV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https://recht.nulegal.eu/gesetze/MedaillenV/5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