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MedKikoVO (Sachsen)</w:t>
      </w:r>
    </w:p>
    <w:p>
      <w:r>
        <w:rPr>
          <w:color w:val="555555"/>
          <w:sz w:val="18"/>
        </w:rPr>
        <w:t xml:space="preserve">Medizinischer-Kinderschutzkoordinierungsverordnung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des § 5 Absatz 2 des Sächsischen Heilberufekammergesetzes vom 24. Mai 1994 (SächsGVBl. S. 935) verordnet das Staatsministerium für Soziales und Verbraucherschutz mit Zustimmung der Sächsischen Landesärztekammer:</w:t>
      </w:r>
    </w:p>
    <w:p>
      <w:r>
        <w:rPr>
          <w:color w:val="555555"/>
          <w:sz w:val="17"/>
        </w:rPr>
        <w:t xml:space="preserve">Zitiervorschlag: Eingangsformel MedKikoVO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https://recht.nulegal.eu/gesetze/MedKikoVO/eingangsformel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