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MedKikoVO (Sachsen) — Inkrafttreten</w:t>
      </w:r>
    </w:p>
    <w:p>
      <w:r>
        <w:rPr>
          <w:color w:val="555555"/>
          <w:sz w:val="18"/>
        </w:rPr>
        <w:t xml:space="preserve">Medizinischer-Kinderschutzkoordinierungsverordnung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t xml:space="preserve">Dresden, den 7. Oktober 2019</w:t>
      </w:r>
    </w:p>
    <w:p>
      <w:r>
        <w:t xml:space="preserve">Die Staatsministerin für Soziales</w:t>
      </w:r>
    </w:p>
    <w:p>
      <w:r>
        <w:t xml:space="preserve">und Verbraucherschutz</w:t>
      </w:r>
    </w:p>
    <w:p>
      <w:r>
        <w:t xml:space="preserve">Barbara Klepsch</w:t>
      </w:r>
    </w:p>
    <w:p>
      <w:r>
        <w:rPr>
          <w:color w:val="555555"/>
          <w:sz w:val="17"/>
        </w:rPr>
        <w:t xml:space="preserve">Zitiervorschlag: § 3 MedKikoVO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https://recht.nulegal.eu/gesetze/MedKikoVO/3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