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MedInfoFAngAusbV — Übergangsregelung</w:t>
      </w:r>
    </w:p>
    <w:p>
      <w:r>
        <w:rPr>
          <w:color w:val="555555"/>
          <w:sz w:val="18"/>
        </w:rPr>
        <w:t xml:space="preserve">Verordnung über die Berufsausbildung zum Fachangestellten für Medien- und Informationsdienste/zur Fachangestellten für Medien- und Informationsdienste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t xml:space="preserve">(2) Für Berufsausbildungsverhältnisse, die bis zum 1. Oktober 1998 beginnen, können die Vertragsparteien die Anwendung der bisherigen Vorschriften vereinbaren.</w:t>
      </w:r>
    </w:p>
    <w:p>
      <w:r>
        <w:rPr>
          <w:color w:val="555555"/>
          <w:sz w:val="17"/>
        </w:rPr>
        <w:t xml:space="preserve">Zitiervorschlag: § 13 MedInfoFAngAusbV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https://recht.nulegal.eu/gesetze/MedInfoFAngAusbV/13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