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MedHygV (Brandenburg) — Anforderungen an Bau und Betrieb medizinischer Einrichtungen</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Empfehlungen der nach § 23 Absatz 1 Satz 1 des Infektionsschutzgesetzes eingerichteten Kommission zur Krankenhaushygiene und Infektionsprävention beim Robert-Koch-Institut sind einzuhalten.</w:t>
      </w:r>
    </w:p>
    <w:p>
      <w:r>
        <w:t xml:space="preserve">(2) Die Träger der in § 1 Satz 1 genannten medizinischen Einrichtungen sind verpflichtet, die betrieblich-organisatorischen und baulich-funktionellen Voraussetzungen für die Einhaltung der Hygiene sicherzustellen.</w:t>
      </w:r>
    </w:p>
    <w:p>
      <w:r>
        <w:t xml:space="preserve">(3) Baulich-funktionelle Anlagen, von denen ein infektionshygienisches Risiko ausgehen kann, sind nach den allgemein anerkannten Regeln der Technik zu betreiben und zu warten. Sie sind zusätzlich regelmäßigen hygienischen Überprüfungen durch den Betreiber der Anlage zu unterziehen. Die Anlagen dürfen nur von fachlich geschultem Personal betrieben und gewartet werden.</w:t>
      </w:r>
    </w:p>
    <w:p>
      <w:r>
        <w:t xml:space="preserve">(4) Für Einrichtungen nach § 1 Satz 1 Nummer 1 bis 5 sind Bauvorhaben vor Beantragung der Baugenehmigung oder vor ihrer Durchführung hinsichtlich der hygienischen Anforderungen durch eine Krankenhaushygienikerin oder einen Krankenhaushygieniker in einem Gutachten zu bewerten. Notwendige Bauunterlagen sowie das krankenhaushygienische Gutachten sind dem jeweils zuständigen Gesundheitsamt der Landkreise und kreisfreien Städte vor Antragstellung der Baugenehmigung und soweit keine Genehmigung einzuholen ist, vor Baubeginn, zu übermitteln.</w:t>
      </w:r>
    </w:p>
    <w:p>
      <w:r>
        <w:rPr>
          <w:color w:val="555555"/>
          <w:sz w:val="17"/>
        </w:rPr>
        <w:t xml:space="preserve">Zitiervorschlag: § 2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