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MedHygV (Brandenburg) — Ordnungswidrigkeiten</w:t>
      </w:r>
    </w:p>
    <w:p>
      <w:r>
        <w:rPr>
          <w:color w:val="555555"/>
          <w:sz w:val="18"/>
        </w:rPr>
        <w:t xml:space="preserve">Verordnung über die Hygiene und Infektionsprävention in medizinischen Einrichtungen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(1) Ordnungswidrig im Sinne des § 73 Absatz 1 Nummer 24 des Infektionsschutzgesetzes handelt, wer vorsätzlich oder fahrlässig</w:t>
      </w:r>
    </w:p>
    <w:p>
      <w:r>
        <w:t xml:space="preserve">das nach den §§ 5 bis 8 erforderliche Fachpersonal nicht beschäftigt,</w:t>
      </w:r>
    </w:p>
    <w:p>
      <w:r>
        <w:t xml:space="preserve">entgegen § 11 keine schriftlichen oder elektronischen Aufzeichnungen und keine Bewertung der erfassten Daten zu nosokomialen Infektionen, Antibiotikaresistenzen und Antibiotikaverbrauch vornimmt und keine Maßnahme zur Vermeidung ergreift,</w:t>
      </w:r>
    </w:p>
    <w:p>
      <w:r>
        <w:t xml:space="preserve">entgegen § 14 infektionsschutzrelevante Informationen nicht weitergibt, obwohl die Patientin oder der Patient auf die beabsichtigte Übermittlung hingewiesen wurde und hierzu Gegenteiliges nicht bestimmt oder in die Übermittlung eingewilligt hat.</w:t>
      </w:r>
    </w:p>
    <w:p>
      <w:r>
        <w:t xml:space="preserve">(2) Zuständig für die Ahndung von Ordnungswidrigkeiten sind die Gesundheitsämter der Landkreise und kreisfreien Städte. Die Ordnungswidrigkeit kann mit einer Geldbuße bis zu fünfundzwanzigtausend Euro geahndet werden.</w:t>
      </w:r>
    </w:p>
    <w:p>
      <w:r>
        <w:rPr>
          <w:color w:val="555555"/>
          <w:sz w:val="17"/>
        </w:rPr>
        <w:t xml:space="preserve">Zitiervorschlag: § 15 MedHygV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https://recht.nulegal.eu/gesetze/MedHygV/15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