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Schlußformel MedFachbV</w:t>
      </w:r>
    </w:p>
    <w:p>
      <w:r>
        <w:rPr>
          <w:color w:val="555555"/>
          <w:sz w:val="18"/>
        </w:rPr>
        <w:t xml:space="preserve">Verordnung über die Ausbildungsförderung für Medizinalfachberufe</w:t>
      </w:r>
    </w:p>
    <w:p>
      <w:r>
        <w:rPr>
          <w:color w:val="555555"/>
          <w:sz w:val="18"/>
        </w:rPr>
        <w:t xml:space="preserve">Historische Fassung: Stand 10.06.2019 bis 28.05.2022. Dies ist nicht die aktuelle Fassung.</w:t>
      </w:r>
    </w:p>
    <w:p>
      <w:r>
        <w:t xml:space="preserve">Der Bundesrat hat zugestimmt.</w:t>
      </w:r>
    </w:p>
    <w:p>
      <w:r>
        <w:rPr>
          <w:color w:val="555555"/>
          <w:sz w:val="17"/>
        </w:rPr>
        <w:t xml:space="preserve">Zitiervorschlag: Schlußformel MedFachbV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https://recht.nulegal.eu/gesetze/MedFachbV/schlussformel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