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MedFachbV</w:t>
      </w:r>
    </w:p>
    <w:p>
      <w:r>
        <w:rPr>
          <w:color w:val="555555"/>
          <w:sz w:val="18"/>
        </w:rPr>
        <w:t xml:space="preserve">Verordnung über die Ausbildungsförderung für Medizinalfachberufe</w:t>
      </w:r>
    </w:p>
    <w:p>
      <w:r>
        <w:rPr>
          <w:color w:val="555555"/>
          <w:sz w:val="18"/>
        </w:rPr>
        <w:t xml:space="preserve">Historische Fassung: Stand 10.06.2019 bis 28.05.2022. Dies ist nicht die aktuelle Fassung.</w:t>
      </w:r>
    </w:p>
    <w:p>
      <w:r>
        <w:t xml:space="preserve">Auf Grund des § 2 Abs. 3 Nr. 1 des Bundesausbildungsförderungsgesetzes in der Fassung der Bekanntmachung vom 6. Juni 1983 (BGBl. I S. 645, 1680), der zuletzt durch Artikel 1 Nr. 1 des Gesetzes vom 13. Juli 1981 (BGBl. I S. 625) geändert worden ist, in Verbindung mit Artikel 56 des Zuständigkeitsanpassungs-Gesetzes vom 18. März 1975 (BGBl. I S. 705) und dem Organisationserlaß vom 17. November 1994 (BGBl. I S. 3667) verordnet das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MedFachbV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https://recht.nulegal.eu/gesetze/MedFachbV/eingangsformel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