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MedFachbV — Förderungsrechtliche Stellung der Auszubildenden</w:t>
      </w:r>
    </w:p>
    <w:p>
      <w:r>
        <w:rPr>
          <w:color w:val="555555"/>
          <w:sz w:val="18"/>
        </w:rPr>
        <w:t xml:space="preserve">Verordnung über die Ausbildungsförderung für Medizinalfachberufe</w:t>
      </w:r>
    </w:p>
    <w:p>
      <w:r>
        <w:rPr>
          <w:color w:val="555555"/>
          <w:sz w:val="18"/>
        </w:rPr>
        <w:t xml:space="preserve">Historische Fassung: Stand 10.06.2019 bis 28.05.2022. Dies ist nicht die aktuelle Fassung.</w:t>
      </w:r>
    </w:p>
    <w:p>
      <w:r>
        <w:t xml:space="preserve">Die Auszubildenden an den in § 1 Abs. 1 Nr. 2, 4, 11, 13, 16, 17 und 21 bezeichneten Ausbildungsstätten erhalten Ausbildungsförderung wie Schüler an Fachschulen, deren Besuch eine abgeschlossene Berufsausbildung voraussetzt, im übrigen wie Schüler von Berufsfachschulen.</w:t>
      </w:r>
    </w:p>
    <w:p>
      <w:r>
        <w:rPr>
          <w:color w:val="555555"/>
          <w:sz w:val="17"/>
        </w:rPr>
        <w:t xml:space="preserve">Zitiervorschlag: § 2 MedFachbV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https://recht.nulegal.eu/gesetze/MedFachbV/2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