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MedFAngAusbV — Zielsetzung der Berufsausbildung</w:t>
      </w:r>
    </w:p>
    <w:p>
      <w:r>
        <w:rPr>
          <w:color w:val="555555"/>
          <w:sz w:val="18"/>
        </w:rPr>
        <w:t xml:space="preserve">Verordnung über die Berufsausbildung zum Medizinischen Fachangestellten/zur Medizinischen Fachangestellten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dieser Verordnung genannten Fertigkeiten, Kenntnisse und Fähigkeiten sollen bezogen auf Arbeits- und Geschäftsprozesse so vermittelt werden, dass die Auszubildenden zur Ausübung einer qualifizierten beruflichen Tätigkeit im Sinne des § 1 Abs. 3 des Berufsbildungsgesetzes befähigt werden, die insbesondere selbstständiges Planen, Durchführen und Kontrollieren sowie das Handeln im betrieblichen Gesamtzusammenhang einschließt. Diese Befähigung ist auch in den Prüfungen nach den §§ 8 und 9 nachzuweisen.</w:t>
      </w:r>
    </w:p>
    <w:p>
      <w:r>
        <w:rPr>
          <w:color w:val="555555"/>
          <w:sz w:val="17"/>
        </w:rPr>
        <w:t xml:space="preserve">Zitiervorschlag: § 3 MedFAngAusbV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https://recht.nulegal.eu/gesetze/MedFAngAusbV/3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