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MedCanG — Versagung der Erlaubnis</w:t>
      </w:r>
    </w:p>
    <w:p>
      <w:r>
        <w:rPr>
          <w:color w:val="555555"/>
          <w:sz w:val="18"/>
        </w:rPr>
        <w:t xml:space="preserve">Medizinal-Cannabisgesetz</w:t>
      </w:r>
    </w:p>
    <w:p>
      <w:r>
        <w:rPr>
          <w:color w:val="555555"/>
          <w:sz w:val="18"/>
        </w:rPr>
        <w:t xml:space="preserve">Stand: 28.03.2024 (konsolidierte Textfassung, kein amtliches Inkrafttretensdatum)</w:t>
      </w:r>
    </w:p>
    <w:p>
      <w:r>
        <w:t xml:space="preserve">(1) Die Erlaubnis nach § 4 ist zu versagen, wenn</w:t>
      </w:r>
    </w:p>
    <w:p>
      <w:pPr>
        <w:ind w:left="420"/>
      </w:pPr>
      <w:r>
        <w:t xml:space="preserve">1. nicht gewährleistet ist, dass in der Betriebsstätte, für die der Antrag auf Erlaubnis gestellt wurde, eine verantwortliche Person bestellt wird; die den Antrag auf Erlaubnis stellende Person kann selbst die Stelle einer verantwortlichen Person einnehmen,</w:t>
      </w:r>
    </w:p>
    <w:p>
      <w:pPr>
        <w:ind w:left="420"/>
      </w:pPr>
      <w:r>
        <w:t xml:space="preserve">2. nicht gewährleistet ist, dass, sofern weitere Betriebsstätten in nicht benachbarten Gemeinden bestehen, in jeder dieser Betriebsstätten eine verantwortliche Person bestellt wird,</w:t>
      </w:r>
    </w:p>
    <w:p>
      <w:pPr>
        <w:ind w:left="420"/>
      </w:pPr>
      <w:r>
        <w:t xml:space="preserve">3. die verantwortliche Person nicht die erforderliche Sachkenntnis hat oder die ihr obliegenden Verpflichtungen nicht ständig erfüllen kann,</w:t>
      </w:r>
    </w:p>
    <w:p>
      <w:pPr>
        <w:ind w:left="420"/>
      </w:pPr>
      <w:r>
        <w:t xml:space="preserve">4. Tatsachen vorliegen, aus denen sich Bedenken ergeben</w:t>
      </w:r>
    </w:p>
    <w:p>
      <w:pPr>
        <w:ind w:left="780"/>
      </w:pPr>
      <w:r>
        <w:t xml:space="preserve">a) gegen die Zuverlässigkeit der verantwortlichen Person, der antragstellenden Person oder ihrer gesetzlichen Vertreterin oder ihres gesetzlichen Vertreters oder</w:t>
      </w:r>
    </w:p>
    <w:p>
      <w:pPr>
        <w:ind w:left="780"/>
      </w:pPr>
      <w:r>
        <w:t xml:space="preserve">b) bei juristischen Personen oder nicht rechtsfähigen Personenvereinigungen gegen die Zuverlässigkeit der nach Gesetz, Satzung oder Gesellschaftsvertrag zur Vertretung oder Geschäftsführung Berechtigten,</w:t>
      </w:r>
    </w:p>
    <w:p>
      <w:pPr>
        <w:ind w:left="420"/>
      </w:pPr>
      <w:r>
        <w:t xml:space="preserve">5. Tatsachen vorliegen, die den Verdacht begründen, dass das Cannabis zu medizinischen Zwecken oder das Cannabis zu medizinisch-wissenschaftlichen Zwecken bei der Versendung in eine Postsendung eingelegt werden soll, obwohl diese Versendung durch den Weltpostvertrag oder ein Abkommen des Weltpostvereins verboten ist, oder</w:t>
      </w:r>
    </w:p>
    <w:p>
      <w:pPr>
        <w:ind w:left="420"/>
      </w:pPr>
      <w:r>
        <w:t xml:space="preserve">6. bei Beanstandung der vorgelegten Antragsunterlagen durch die zuständige Behörde einem Mangel nicht innerhalb der gesetzten Frist abgeholfen wird.</w:t>
      </w:r>
    </w:p>
    <w:p>
      <w:r>
        <w:t xml:space="preserve">(2) Die Erlaubnis nach § 4 kann versagt werden, wenn</w:t>
      </w:r>
    </w:p>
    <w:p>
      <w:pPr>
        <w:ind w:left="420"/>
      </w:pPr>
      <w:r>
        <w:t xml:space="preserve">1. sie den Regelungen der internationalen Suchtstoffübereinkommen entgegensteht,</w:t>
      </w:r>
    </w:p>
    <w:p>
      <w:pPr>
        <w:ind w:left="420"/>
      </w:pPr>
      <w:r>
        <w:t xml:space="preserve">2. sie den Beschlüssen, Anordnungen oder Empfehlungen zwischenstaatlicher Einrichtungen der Suchtstoffkontrolle entgegensteht oder</w:t>
      </w:r>
    </w:p>
    <w:p>
      <w:pPr>
        <w:ind w:left="420"/>
      </w:pPr>
      <w:r>
        <w:t xml:space="preserve">3. die Versagung der Erlaubnis wegen Rechtsakten der Europäischen Union geboten ist.</w:t>
      </w:r>
    </w:p>
    <w:p>
      <w:r>
        <w:rPr>
          <w:color w:val="555555"/>
          <w:sz w:val="17"/>
        </w:rPr>
        <w:t xml:space="preserve">Zitiervorschlag: § 9 MedCanG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https://recht.nulegal.eu/gesetze/MedCanG/9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