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MedCanG — Ausnahmen von der Erlaubnispflicht</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Einer Erlaubnis nach § 4 bedarf nicht, wer</w:t>
      </w:r>
    </w:p>
    <w:p>
      <w:pPr>
        <w:ind w:left="420"/>
      </w:pPr>
      <w:r>
        <w:t xml:space="preserve">1. im Rahmen des Betriebs einer Apotheke</w:t>
      </w:r>
    </w:p>
    <w:p>
      <w:pPr>
        <w:ind w:left="780"/>
      </w:pPr>
      <w:r>
        <w:t xml:space="preserve">a) Cannabis zu medizinischen Zwecken herstellt, erwirbt, auf Grund einer ärztlichen Verschreibung nach § 3 abgibt, an eine andere Apotheke weitergibt, an Inhaber einer Erlaubnis zum Erwerb von Cannabis zu medizinischen Zwecken zurückgibt oder an die Nachfolgerin oder den Nachfolger als Inhaber einer Erlaubnis zum Betrieb der Apotheke weitergibt oder</w:t>
      </w:r>
    </w:p>
    <w:p>
      <w:pPr>
        <w:ind w:left="780"/>
      </w:pPr>
      <w:r>
        <w:t xml:space="preserve">b) Cannabis zu medizinischen Zwecken oder Cannabis zu medizinisch-wissenschaftlichen Zwecken zur Untersuchung, zur Weiterleitung an eine zur Untersuchung von Cannabis zu medizinischen Zwecken oder Cannabis zu medizinisch-wissenschaftlichen Zwecken berechtigte Stelle oder zur Vernichtung entgegennimmt,</w:t>
      </w:r>
    </w:p>
    <w:p>
      <w:pPr>
        <w:ind w:left="420"/>
      </w:pPr>
      <w:r>
        <w:t xml:space="preserve">2. Cannabis zu medizinischen Zwecken auf Grund ärztlicher Verschreibung nach § 3 erwirbt,</w:t>
      </w:r>
    </w:p>
    <w:p>
      <w:pPr>
        <w:ind w:left="420"/>
      </w:pPr>
      <w:r>
        <w:t xml:space="preserve">3. Cannabis zu medizinischen Zwecken auf Grund ärztlicher Verschreibung nach § 3 erworben hat und als Reisebedarf einführt oder ausführt,</w:t>
      </w:r>
    </w:p>
    <w:p>
      <w:pPr>
        <w:ind w:left="420"/>
      </w:pPr>
      <w:r>
        <w:t xml:space="preserve">4. gewerbsmäßig</w:t>
      </w:r>
    </w:p>
    <w:p>
      <w:pPr>
        <w:ind w:left="780"/>
      </w:pPr>
      <w:r>
        <w:t xml:space="preserve">a) an der Beförderung von Cannabis zu medizinischen Zwecken oder von Cannabis zu medizinisch-wissenschaftlichen Zwecken zwischen befugten Teilnehmerinnen und Teilnehmern am Verkehr mit Cannabis zu medizinischen Zwecken oder mit Cannabis zu medizinisch-wissenschaftlichen Zwecken beteiligt ist oder die Lagerung und Aufbewahrung von Cannabis zu medizinischen Zwecken oder Cannabis zu medizinisch-wissenschaftlichen Zwecken im Zusammenhang mit einer solchen Beförderung oder für eine befugte Teilnehmerin oder einen befugten Teilnehmer am Verkehr mit Cannabis zu medizinischen Zwecken oder mit Cannabis zu medizinisch-wissenschaftlichen Zwecken übernimmt oder</w:t>
      </w:r>
    </w:p>
    <w:p>
      <w:pPr>
        <w:ind w:left="780"/>
      </w:pPr>
      <w:r>
        <w:t xml:space="preserve">b) die Versendung von Cannabis zu medizinischen Zwecken oder von Cannabis zu medizinisch-wissenschaftlichen Zwecken zwischen befugten Teilnehmerinnen und Teilnehmern am Verkehr mit Cannabis zu medizinischen Zwecken oder mit Cannabis zu medizinisch-wissenschaftlichen Zwecken durch andere besorgt oder vermittelt oder</w:t>
      </w:r>
    </w:p>
    <w:p>
      <w:pPr>
        <w:ind w:left="420"/>
      </w:pPr>
      <w:r>
        <w:t xml:space="preserve">5. Cannabis zu medizinischen Zwecken oder Cannabis zu medizinisch-wissenschaftlichen Zwecken als Probandin oder Proband oder Patientin oder Patient im Rahmen einer klinischen Prüfung oder in Härtefällen nach § 21 Absatz 2 Nummer 3 des Arzneimittelgesetzes in Verbindung mit Artikel 83 der Verordnung (EG) Nr. 726/2004 des Europäischen Parlaments und des Rates vom 31. März 2004 zur Festlegung von Gemeinschaftsverfahren für die Genehmigung und Überwachung von Human- und Tierarzneimitteln und zur Errichtung einer Europäischen Arzneimittel-Agentur (ABl. L 136 vom 30.4.2004, S. 1), die zuletzt durch die Verordnung (EU) 2019/5 (ABl. L 4 vom 7.1.2019, S. 24) geändert worden ist, erwirbt.</w:t>
      </w:r>
    </w:p>
    <w:p>
      <w:r>
        <w:t xml:space="preserve">(2) Einer Erlaubnis nach § 4 bedürfen nicht Bundes- und Landesbehörden für den Bereich ihrer dienstlichen Tätigkeit sowie die von ihnen mit der Untersuchung von Cannabis zu medizinischen Zwecken oder von Cannabis zu medizinisch-wissenschaftlichen Zwecken beauftragten Behörden oder Einrichtungen.</w:t>
      </w:r>
    </w:p>
    <w:p>
      <w:r>
        <w:rPr>
          <w:color w:val="555555"/>
          <w:sz w:val="17"/>
        </w:rPr>
        <w:t xml:space="preserve">Zitiervorschlag: § 5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