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MedCanG — Erlaubnispflicht</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Wer Cannabis zu medizinischen Zwecken oder Cannabis zu medizinisch-wissenschaftlichen Zwecken anbauen, herstellen, mit ihm Handel treiben, einführen, ausführen, abgeben, veräußern, sonst in den Verkehr bringen, sich verschaffen oder erwerben will, bedarf einer Erlaubnis des Bundesinstituts für Arzneimittel und Medizinprodukte.</w:t>
      </w:r>
    </w:p>
    <w:p>
      <w:r>
        <w:t xml:space="preserve">(2) Eine Erlaubnis für den Umgang mit Cannabis zu medizinisch-wissenschaftlichen Zwecken kann das Bundesinstitut für Arzneimittel und Medizinprodukte zu wissenschaftlichen oder nur ausnahmsweise zu anderen im öffentlichen Interesse liegenden Zwecken erteilen.</w:t>
      </w:r>
    </w:p>
    <w:p>
      <w:r>
        <w:rPr>
          <w:color w:val="555555"/>
          <w:sz w:val="17"/>
        </w:rPr>
        <w:t xml:space="preserve">Zitiervorschlag: § 4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