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MedCanG — Übergangsregelung aus Anlass des Cannabisgesetzes</w:t>
      </w:r>
    </w:p>
    <w:p>
      <w:r>
        <w:rPr>
          <w:color w:val="555555"/>
          <w:sz w:val="18"/>
        </w:rPr>
        <w:t xml:space="preserve">Medizinal-Cannabisgesetz</w:t>
      </w:r>
    </w:p>
    <w:p>
      <w:r>
        <w:rPr>
          <w:color w:val="555555"/>
          <w:sz w:val="18"/>
        </w:rPr>
        <w:t xml:space="preserve">Stand: 28.03.2024 (konsolidierte Textfassung, kein amtliches Inkrafttretensdatum)</w:t>
      </w:r>
    </w:p>
    <w:p>
      <w:r>
        <w:t xml:space="preserve">Genehmigungen nach § 12 können, soweit eine Erlaubnis nach § 4 noch nicht erteilt wurde, bis zum 1. April 2025 auf der Grundlage einer Erlaubnis nach § 3 des Betäubungsmittelgesetzes in der Fassung der Bekanntmachung vom 1. März 1994 (BGBl. I S. 358), das zuletzt durch Artikel 2 des Gesetzes vom 26. Juli 2023 (BGBl. 2023 I Nr. 204) geändert worden ist, erteilt werden.</w:t>
      </w:r>
    </w:p>
    <w:p>
      <w:r>
        <w:rPr>
          <w:color w:val="555555"/>
          <w:sz w:val="17"/>
        </w:rPr>
        <w:t xml:space="preserve">Zitiervorschlag: § 31 MedCanG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https://recht.nulegal.eu/gesetze/MedCanG/31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