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MedCanG — Bußgeldvorschriften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13.04.2024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mehr als die und bis zu den folgenden Mengen an Cannabis zu medizinischen Zwecken oder an Cannabis zu medizinisch-wissenschaftlichen Zwecken, jeweils bei Blüten, blütennahen Blättern oder sonstigem Pflanzenmaterial bezogen auf das Gewicht nach dem Trocknen, besitzt, ohne zugleich im Besitz einer Erlaubnis nach § 4 für den Erwerb oder nach § 5 oder § 22 von der Erlaubnispflicht ausgenommen zu sein:</w:t>
      </w:r>
    </w:p>
    <w:p>
      <w:pPr>
        <w:ind w:left="780"/>
      </w:pPr>
      <w:r>
        <w:t xml:space="preserve">a) mehr als 25 Gramm und bis zu 30 Gramm an einem Ort, der nicht sein Wohnsitz oder sein gewöhnlicher Aufenthalt ist, oder</w:t>
      </w:r>
    </w:p>
    <w:p>
      <w:pPr>
        <w:ind w:left="780"/>
      </w:pPr>
      <w:r>
        <w:t xml:space="preserve">b) insgesamt mehr als 50 Gramm und bis zu 60 Gramm,</w:t>
      </w:r>
    </w:p>
    <w:p>
      <w:pPr>
        <w:ind w:left="420"/>
      </w:pPr>
      <w:r>
        <w:t xml:space="preserve">2. entgegen § 8 Absatz 1 eine Mitteilung nicht richtig, nicht vollständig oder nicht unverzüglich macht,</w:t>
      </w:r>
    </w:p>
    <w:p>
      <w:pPr>
        <w:ind w:left="420"/>
      </w:pPr>
      <w:r>
        <w:t xml:space="preserve">3. einer vollziehbaren Auflage nach § 10 zuwiderhandelt,</w:t>
      </w:r>
    </w:p>
    <w:p>
      <w:pPr>
        <w:ind w:left="420"/>
      </w:pPr>
      <w:r>
        <w:t xml:space="preserve">4. ohne Genehmigung nach § 12 Cannabis zu medizinischen Zwecken oder Cannabis zu medizinisch-wissenschaftlichen Zwecken ein- oder ausführt,</w:t>
      </w:r>
    </w:p>
    <w:p>
      <w:pPr>
        <w:ind w:left="420"/>
      </w:pPr>
      <w:r>
        <w:t xml:space="preserve">5. entgegen § 1 Absatz 2 der Betäubungsmittel-Außenhandelsverordnung oder § 7 Absatz 2 der Betäubungsmittel-Außenhandelsverordnung, jeweils in Verbindung mit § 14, im Einfuhr- oder Ausfuhrantrag unrichtige oder unvollständige Angaben macht,</w:t>
      </w:r>
    </w:p>
    <w:p>
      <w:pPr>
        <w:ind w:left="420"/>
      </w:pPr>
      <w:r>
        <w:t xml:space="preserve">6. entgegen § 6 Absatz 1 oder Absatz 2 Satz 2 der Betäubungsmittel-Außenhandelsverordnung oder § 12 Absatz 1 Satz 1 oder Absatz 2 Satz 2 der Betäubungsmittel-Außenhandelsverordnung, jeweils in Verbindung mit § 14, die Ein- oder Ausfuhranzeige oder die Ein- oder Ausfuhrgenehmigung nicht, nicht richtig oder nicht vollständig mit den dort bezeichneten Angaben versieht,</w:t>
      </w:r>
    </w:p>
    <w:p>
      <w:pPr>
        <w:ind w:left="420"/>
      </w:pPr>
      <w:r>
        <w:t xml:space="preserve">7. entgegen § 16 Absatz 1 eine Aufzeichnung nicht, nicht richtig oder nicht vollständig führt,</w:t>
      </w:r>
    </w:p>
    <w:p>
      <w:pPr>
        <w:ind w:left="420"/>
      </w:pPr>
      <w:r>
        <w:t xml:space="preserve">8. entgegen § 16 Absatz 2 eine Aufzeichnung nicht oder nicht mindestens drei Jahre aufbewahrt,</w:t>
      </w:r>
    </w:p>
    <w:p>
      <w:pPr>
        <w:ind w:left="420"/>
      </w:pPr>
      <w:r>
        <w:t xml:space="preserve">9. entgegen § 16 Absatz 3 eine Meldung nicht, nicht richtig, nicht vollständig oder nicht rechtzeitig macht oder</w:t>
      </w:r>
    </w:p>
    <w:p>
      <w:pPr>
        <w:ind w:left="420"/>
      </w:pPr>
      <w:r>
        <w:t xml:space="preserve">10. entgegen § 20 Absatz 1 eine dort genannte Maßnahme nicht duldet.</w:t>
      </w:r>
    </w:p>
    <w:p>
      <w:r>
        <w:t xml:space="preserve">(2) Die Ordnungswidrigkeit kann in den Fällen des Absatzes 1 Nummer 1, 3 und 4 mit einer Geldbuße bis zu dreißigtausend Euro und in den übrigen Fällen des Absatzes 1 mit einer Geldbuße bis zu zehntausend Euro geahndet werden.</w:t>
      </w:r>
    </w:p>
    <w:p>
      <w:r>
        <w:rPr>
          <w:color w:val="555555"/>
          <w:sz w:val="17"/>
        </w:rPr>
        <w:t xml:space="preserve">Zitiervorschlag: § 27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