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MedCanG — Absehen von Verfolgung</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Hat das Verfahren ein Vergehen nach § 25 Absatz 1, 3 oder Absatz 6 zum Gegenstand, so kann die Staatsanwaltschaft von der Verfolgung absehen, wenn die Schuld des Täters als gering anzusehen wäre, kein öffentliches Interesse an der Strafverfolgung besteht und der Täter das Cannabis zu medizinischen Zwecken oder das Cannabis zu medizinisch-wissenschaftlichen Zwecken lediglich zum Eigenverbrauch in geringer Menge anbaut, herstellt, einführt, ausführt, durchführt, erwirbt, sich in sonstiger Weise verschafft oder besitzt.</w:t>
      </w:r>
    </w:p>
    <w:p>
      <w:r>
        <w:t xml:space="preserve">(2) Ist die Klage bereits erhoben, so kann das Gericht in jeder Lage des Verfahrens unter den Voraussetzungen des Absatzes 1 mit Zustimmung der Staatsanwaltschaft und des Angeschuldigten das Verfahren einstellen. Der Zustimmung des Angeschuldigten bedarf es nicht, wenn die Hauptverhandlung aus den in § 205 der Strafprozessordnung angeführten Gründen nicht durchgeführt werden kann oder in den Fällen des § 231 Absatz 2 und der §§ 232 und 233 der Strafprozessordnung in seiner Abwesenheit durchgeführt wird. Die Entscheidung ergeht durch Beschluss. Der Beschluss ist nicht anfechtbar.</w:t>
      </w:r>
    </w:p>
    <w:p>
      <w:r>
        <w:rPr>
          <w:color w:val="555555"/>
          <w:sz w:val="17"/>
        </w:rPr>
        <w:t xml:space="preserve">Zitiervorschlag: § 26a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