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MedCanG — Sicherungsanordnung</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Cannabis zu medizinischen Zwecken und Cannabis zu medizinisch-wissenschaftlichen Zwecken ist durch geeignete Maßnahmen und Sicherheitsvorkehrungen vor dem Zugriff durch unbefugte Personen zu schützen.</w:t>
      </w:r>
    </w:p>
    <w:p>
      <w:r>
        <w:t xml:space="preserve">(2) Das Bundesinstitut für Arzneimittel und Medizinprodukte kann im Einzelfall Maßnahmen zur Sicherung vor dem Zugriff durch unbefugte Personen gegenüber befugten Teilnehmerinnen und Teilnehmern am Verkehr mit Cannabis zu medizinischen Zwecken oder mit Cannabis zu medizinisch-wissenschaftlichen Zwecken anordnen, soweit diese das Cannabis zu medizinischen Zwecken oder das Cannabis zu medizinisch-wissenschaftlichen Zwecken nicht ausreichend gegen den Zugriff unbefugter Personen gesichert haben und soweit es zur Verhinderung von Gefahren für die öffentliche Sicherheit und Ordnung erforderlich ist.</w:t>
      </w:r>
    </w:p>
    <w:p>
      <w:r>
        <w:rPr>
          <w:color w:val="555555"/>
          <w:sz w:val="17"/>
        </w:rPr>
        <w:t xml:space="preserve">Zitiervorschlag: § 21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