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MedCanG — Überwachung des Verkehrs mit Cannabis zu medizinischen Zwecken oder Cannabis zu medizinisch-wissenschaftlichen Zwecken</w:t>
      </w:r>
    </w:p>
    <w:p>
      <w:r>
        <w:rPr>
          <w:color w:val="555555"/>
          <w:sz w:val="18"/>
        </w:rPr>
        <w:t xml:space="preserve">Medizinal-Cannabisgesetz</w:t>
      </w:r>
    </w:p>
    <w:p>
      <w:r>
        <w:rPr>
          <w:color w:val="555555"/>
          <w:sz w:val="18"/>
        </w:rPr>
        <w:t xml:space="preserve">Stand: 28.03.2024 (konsolidierte Textfassung, kein amtliches Inkrafttretensdatum)</w:t>
      </w:r>
    </w:p>
    <w:p>
      <w:r>
        <w:t xml:space="preserve">(1) Die zuständige Behörde und die von dieser mit der Überwachung beauftragten Personen sind befugt,</w:t>
      </w:r>
    </w:p>
    <w:p>
      <w:pPr>
        <w:ind w:left="420"/>
      </w:pPr>
      <w:r>
        <w:t xml:space="preserve">1. Unterlagen über den Verkehr mit Cannabis zu medizinischen Zwecken oder mit Cannabis zu medizinisch-wissenschaftlichen Zwecken einzusehen und hieraus Abschriften oder Ablichtungen anzufertigen, soweit die Unterlagen für die Sicherheit oder Kontrolle des Verkehrs mit Cannabis zu medizinischen Zwecken oder mit Cannabis zu medizinisch-wissenschaftlichen Zwecken von Bedeutung sein können,</w:t>
      </w:r>
    </w:p>
    <w:p>
      <w:pPr>
        <w:ind w:left="420"/>
      </w:pPr>
      <w:r>
        <w:t xml:space="preserve">2. von natürlichen und juristischen Personen und nicht rechtsfähigen Personenvereinigungen alle Auskünfte zu verlangen, die zur Überwachung des Verkehrs mit Cannabis zu medizinischen Zwecken oder mit Cannabis zu medizinisch-wissenschaftlichen Zwecken erforderlich sind,</w:t>
      </w:r>
    </w:p>
    <w:p>
      <w:pPr>
        <w:ind w:left="420"/>
      </w:pPr>
      <w:r>
        <w:t xml:space="preserve">3. geschäftlich genutzte Grundstücke, Gebäude, Gebäudeteile und Einrichtungen, in denen der Verkehr mit Cannabis zu medizinischen Zwecken oder mit Cannabis zu medizinisch-wissenschaftlichen Zwecken erfolgt, zu den üblichen Geschäfts- und Betriebszeiten zu betreten, um die Einhaltung der Vorgaben dieses Gesetzes zu prüfen,</w:t>
      </w:r>
    </w:p>
    <w:p>
      <w:pPr>
        <w:ind w:left="420"/>
      </w:pPr>
      <w:r>
        <w:t xml:space="preserve">4. soweit es zur Verhütung dringender Gefahren für die Sicherheit oder Kontrolle des Verkehrs mit Cannabis zu medizinischen Zwecken oder mit Cannabis zu medizinisch-wissenschaftlichen Zwecken geboten ist, vorläufig</w:t>
      </w:r>
    </w:p>
    <w:p>
      <w:pPr>
        <w:ind w:left="780"/>
      </w:pPr>
      <w:r>
        <w:t xml:space="preserve">a) die weitere Teilnahme am Verkehr mit Cannabis zu medizinischen Zwecken oder mit Cannabis zu medizinisch-wissenschaftlichen Zwecken ganz oder teilweise zu untersagen und</w:t>
      </w:r>
    </w:p>
    <w:p>
      <w:pPr>
        <w:ind w:left="780"/>
      </w:pPr>
      <w:r>
        <w:t xml:space="preserve">b) die Bestände an Cannabis zu medizinischen Zwecken oder an Cannabis zu medizinisch-wissenschaftlichen Zwecken unter amtlichen Verschluss zu nehmen.</w:t>
      </w:r>
    </w:p>
    <w:p>
      <w:r>
        <w:t xml:space="preserve">Über eine vorläufige Anordnung nach Satz 1 Nummer 4 hat die zuständige Behörde innerhalb von einem Monat nach Erlass der vorläufigen Anordnung endgültig zu entscheiden.</w:t>
      </w:r>
    </w:p>
    <w:p>
      <w:r>
        <w:t xml:space="preserve">(2) Das Bundesministerium der Finanzen und die von ihm bestimmten Zollstellen wirken bei der Überwachung der Einfuhr, Ausfuhr und Durchfuhr von Cannabis zu medizinischen Zwecken und von Cannabis zu medizinisch-wissenschaftlichen Zwecken mit.</w:t>
      </w:r>
    </w:p>
    <w:p>
      <w:r>
        <w:t xml:space="preserve">(3) Bei Verdacht von Verstößen gegen Verbote und Beschränkungen dieses Gesetzes, die sich bei der Zollabfertigung ergeben, unterrichten die nach Absatz 2 mitwirkenden Behörden unverzüglich das Bundesinstitut für Arzneimittel und Medizinprodukte.</w:t>
      </w:r>
    </w:p>
    <w:p>
      <w:r>
        <w:rPr>
          <w:color w:val="555555"/>
          <w:sz w:val="17"/>
        </w:rPr>
        <w:t xml:space="preserve">Zitiervorschlag: § 18 MedCanG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https://recht.nulegal.eu/gesetze/MedCanG/18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