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MedCanG — Zuständige Behörden</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Der Verkehr mit Cannabis zu medizinischen Zwecken oder mit Cannabis zu medizinisch-wissenschaftlichen Zwecken unterliegt der Überwachung durch das Bundesinstitut für Arzneimittel und Medizinprodukte und die von diesem beauftragten Personen. Abweichend von Satz 1 unterliegt der Verkehr durch Ärztinnen und Ärzte und Apotheken der Überwachung durch die zuständigen Behörden der Länder. Den zuständigen Behörden und den von diesen mit der Überwachung beauftragten Personen stehen die in den §§ 18 und 19 geregelten Befugnisse zu.</w:t>
      </w:r>
    </w:p>
    <w:p>
      <w:r>
        <w:t xml:space="preserve">(2) Der Anbau von Cannabis zu medizinischen Zwecken im Geltungsbereich dieses Gesetzes unterliegt der Kontrolle des Bundesinstituts für Arzneimittel und Medizinprodukte. Dieses nimmt die Aufgaben einer staatlichen Stelle nach Artikel 23 Absatz 2 Buchstabe d und Artikel 28 Absatz 1 des Einheits-Übereinkommens von 1961 über Suchtstoffe wahr.</w:t>
      </w:r>
    </w:p>
    <w:p>
      <w:r>
        <w:rPr>
          <w:color w:val="555555"/>
          <w:sz w:val="17"/>
        </w:rPr>
        <w:t xml:space="preserve">Zitiervorschlag: § 17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