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MedCanG — Durchfuhr</w:t>
      </w:r>
    </w:p>
    <w:p>
      <w:r>
        <w:rPr>
          <w:color w:val="555555"/>
          <w:sz w:val="18"/>
        </w:rPr>
        <w:t xml:space="preserve">Medizinal-Cannabisgesetz</w:t>
      </w:r>
    </w:p>
    <w:p>
      <w:r>
        <w:rPr>
          <w:color w:val="555555"/>
          <w:sz w:val="18"/>
        </w:rPr>
        <w:t xml:space="preserve">Stand: 28.03.2024 (konsolidierte Textfassung, kein amtliches Inkrafttretensdatum)</w:t>
      </w:r>
    </w:p>
    <w:p>
      <w:r>
        <w:t xml:space="preserve">Die Durchfuhr von Cannabis zu medizinischen Zwecken oder von Cannabis zu medizinisch-wissenschaftlichen Zwecken durch den Geltungsbereich dieses Gesetzes ist nur unter zollamtlicher Überwachung zulässig</w:t>
      </w:r>
    </w:p>
    <w:p>
      <w:pPr>
        <w:ind w:left="420"/>
      </w:pPr>
      <w:r>
        <w:t xml:space="preserve">1. ohne weiteren als den durch die Beförderung oder den Umschlag bedingten Aufenthalt und</w:t>
      </w:r>
    </w:p>
    <w:p>
      <w:pPr>
        <w:ind w:left="420"/>
      </w:pPr>
      <w:r>
        <w:t xml:space="preserve">2. ohne, dass das durchzuführende Cannabis zu medizinischen Zwecken oder das durchzuführende Cannabis zu medizinisch-wissenschaftlichen Zwecken während des Verbringens der durchführenden oder einer anderen dritten Person tatsächlich zur Verfügung steht.</w:t>
      </w:r>
    </w:p>
    <w:p>
      <w:r>
        <w:t xml:space="preserve">Während der Durchfuhr darf das durchzuführende Cannabis zu medizinischen Zwecken oder das durchzuführende Cannabis zu medizinisch-wissenschaftlichen Zwecken keiner Behandlung unterzogen werden, die geeignet ist, die Beschaffenheit, die Kennzeichnung, die Verpackung oder die Markierungen zu verändern.</w:t>
      </w:r>
    </w:p>
    <w:p>
      <w:r>
        <w:rPr>
          <w:color w:val="555555"/>
          <w:sz w:val="17"/>
        </w:rPr>
        <w:t xml:space="preserve">Zitiervorschlag: § 13 MedCanG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https://recht.nulegal.eu/gesetze/MedCanG/13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