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MedCanG — Genehmigung zur Einfuhr und Ausfuhr</w:t>
      </w:r>
    </w:p>
    <w:p>
      <w:r>
        <w:rPr>
          <w:color w:val="555555"/>
          <w:sz w:val="18"/>
        </w:rPr>
        <w:t xml:space="preserve">Medizinal-Cannabisgesetz</w:t>
      </w:r>
    </w:p>
    <w:p>
      <w:r>
        <w:rPr>
          <w:color w:val="555555"/>
          <w:sz w:val="18"/>
        </w:rPr>
        <w:t xml:space="preserve">Stand: 28.03.2024 (konsolidierte Textfassung, kein amtliches Inkrafttretensdatum)</w:t>
      </w:r>
    </w:p>
    <w:p>
      <w:r>
        <w:t xml:space="preserve">Wer Cannabis zu medizinischen Zwecken oder Cannabis zu medizinisch-wissenschaftlichen Zwecken im Einzelfall in den Geltungsbereich dieses Gesetzes einführen oder aus dem Geltungsbereich dieses Gesetzes ausführen will, bedarf dazu neben der Erlaubnis nach § 4 einer Genehmigung des Bundesinstituts für Arzneimittel und Medizinprodukte.</w:t>
      </w:r>
    </w:p>
    <w:p>
      <w:r>
        <w:rPr>
          <w:color w:val="555555"/>
          <w:sz w:val="17"/>
        </w:rPr>
        <w:t xml:space="preserve">Zitiervorschlag: § 12 MedCanG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https://recht.nulegal.eu/gesetze/MedCanG/12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