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MedCanG — Widerruf der Erlaubnis</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Die Erlaubnis kann auch widerrufen werden, wenn von ihr innerhalb eines Zeitraumes von zwei Kalenderjahren kein Gebrauch gemacht worden ist. Der Zeitraum kann verlängert werden, wenn ein berechtigtes Interesse glaubhaft gemacht wird.</w:t>
      </w:r>
    </w:p>
    <w:p>
      <w:r>
        <w:t xml:space="preserve">(2) Im Fall der Rücknahme oder des Widerrufs der Erlaubnis unterrichtet das Bundesinstitut für Arzneimittel und Medizinprodukte unverzüglich die zuständige oberste Landesbehörde.</w:t>
      </w:r>
    </w:p>
    <w:p>
      <w:r>
        <w:rPr>
          <w:color w:val="555555"/>
          <w:sz w:val="17"/>
        </w:rPr>
        <w:t xml:space="preserve">Zitiervorschlag: § 11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