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MedCanG — Anwendungsbereich</w:t>
      </w:r>
    </w:p>
    <w:p>
      <w:r>
        <w:rPr>
          <w:color w:val="555555"/>
          <w:sz w:val="18"/>
        </w:rPr>
        <w:t xml:space="preserve">Medizinal-Cannabisgesetz</w:t>
      </w:r>
    </w:p>
    <w:p>
      <w:r>
        <w:rPr>
          <w:color w:val="555555"/>
          <w:sz w:val="18"/>
        </w:rPr>
        <w:t xml:space="preserve">Stand: 28.03.2024 (konsolidierte Textfassung, kein amtliches Inkrafttretensdatum)</w:t>
      </w:r>
    </w:p>
    <w:p>
      <w:r>
        <w:t xml:space="preserve">Dieses Gesetz ist anzuwenden auf Cannabis zu medizinischen Zwecken und Cannabis zu medizinisch-wissenschaftlichen Zwecken im Sinne des § 2 Nummer 1 und 2.</w:t>
      </w:r>
    </w:p>
    <w:p>
      <w:r>
        <w:rPr>
          <w:color w:val="555555"/>
          <w:sz w:val="17"/>
        </w:rPr>
        <w:t xml:space="preserve">Zitiervorschlag: § 1 MedCanG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https://recht.nulegal.eu/gesetze/MedCanG/1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