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MedBVSV</w:t>
      </w:r>
    </w:p>
    <w:p>
      <w:r>
        <w:rPr>
          <w:color w:val="555555"/>
          <w:sz w:val="18"/>
        </w:rPr>
        <w:t xml:space="preserve">Medizinischer Bedarf Versorgungssicherstellungsverordnung</w:t>
      </w:r>
    </w:p>
    <w:p>
      <w:r>
        <w:rPr>
          <w:color w:val="555555"/>
          <w:sz w:val="18"/>
        </w:rPr>
        <w:t xml:space="preserve">Historische Fassung: Stand 26.11.2022 bis 01.01.2024. Dies ist nicht die aktuelle Fassung.</w:t>
      </w:r>
    </w:p>
    <w:p>
      <w:r>
        <w:t xml:space="preserve">Auf Grund des § 5 Absatz 2 Nummer 4 Buchstabe a, b und c in Verbindung mit Absatz 3 Satz 2 des Infektionsschutzgesetzes, der durch Artikel 1 Nummer 4 des Gesetzes vom 27. März 2020 (BGBl. I S. 587) neu gefasst worden ist, verordnet das Bundesministerium für Gesundheit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MedBVSV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https://recht.nulegal.eu/gesetze/MedBVSV/eingangsformel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