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MedBVSV — Ausnahmen von der AMG-Kostenverordnung</w:t>
      </w:r>
    </w:p>
    <w:p>
      <w:r>
        <w:rPr>
          <w:color w:val="555555"/>
          <w:sz w:val="18"/>
        </w:rPr>
        <w:t xml:space="preserve">Medizinischer Bedarf Versorgungssicherstellungsverordnung</w:t>
      </w:r>
    </w:p>
    <w:p>
      <w:r>
        <w:rPr>
          <w:color w:val="555555"/>
          <w:sz w:val="18"/>
        </w:rPr>
        <w:t xml:space="preserve">Historische Fassung: Stand 26.11.2022 bis 01.01.2024. Dies ist nicht die aktuelle Fassung.</w:t>
      </w:r>
    </w:p>
    <w:p>
      <w:r>
        <w:t xml:space="preserve">Von der Erhebung von Gebühren nach § 1 der AMG-Kostenverordnung für Beratungsgespräche, Verfahren der Zulassung von Arzneimitteln einschließlich Änderungs- und Verlängerungsverfahren sowie für Genehmigungsverfahren für klinische Prüfungen und für Tätigkeiten im Rahmen der Sammlung und Bewertung von Arzneimittelrisiken wird abgesehen, sofern Gegenstand des jeweiligen Beratungsgesprächs oder des jeweiligen Verfahrens ein Arzneimittel zur Behandlung, Vorbeugung oder zur Diagnose von COVID-19 ist.</w:t>
      </w:r>
    </w:p>
    <w:p>
      <w:r>
        <w:rPr>
          <w:color w:val="555555"/>
          <w:sz w:val="17"/>
        </w:rPr>
        <w:t xml:space="preserve">Zitiervorschlag: § 6 MedBVSV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https://recht.nulegal.eu/gesetze/MedBVSV/6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