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MedBVSV — Ausnahmen vom Heilmittelwerbegesetz</w:t>
      </w:r>
    </w:p>
    <w:p>
      <w:r>
        <w:rPr>
          <w:color w:val="555555"/>
          <w:sz w:val="18"/>
        </w:rPr>
        <w:t xml:space="preserve">Medizinischer Bedarf Versorgungssicherstellungsverordnung</w:t>
      </w:r>
    </w:p>
    <w:p>
      <w:r>
        <w:rPr>
          <w:color w:val="555555"/>
          <w:sz w:val="18"/>
        </w:rPr>
        <w:t xml:space="preserve">Historische Fassung: Stand 26.11.2022 bis 01.01.2024. Dies ist nicht die aktuelle Fassung.</w:t>
      </w:r>
    </w:p>
    <w:p>
      <w:r>
        <w:t xml:space="preserve">Abweichend von § 12 Absatz 2 des Heilmittelwerbegesetzes darf sich die Werbung außerhalb von Fachkreisen auf die Durchführung von Testungen zum Nachweis des Krankheitserregers SARS-CoV-2 beziehen.</w:t>
      </w:r>
    </w:p>
    <w:p>
      <w:r>
        <w:rPr>
          <w:color w:val="555555"/>
          <w:sz w:val="17"/>
        </w:rPr>
        <w:t xml:space="preserve">Zitiervorschlag: § 4a MedBVSV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https://recht.nulegal.eu/gesetze/MedBVSV/4a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