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MedBVSV — Inkrafttreten, Außerkrafttreten</w:t>
      </w:r>
    </w:p>
    <w:p>
      <w:r>
        <w:rPr>
          <w:color w:val="555555"/>
          <w:sz w:val="18"/>
        </w:rPr>
        <w:t xml:space="preserve">Medizinischer Bedarf Versorgungssicherstellungsverordnung</w:t>
      </w:r>
    </w:p>
    <w:p>
      <w:r>
        <w:rPr>
          <w:color w:val="555555"/>
          <w:sz w:val="18"/>
        </w:rPr>
        <w:t xml:space="preserve">Historische Fassung: Stand 20.09.2022 bis 01.01.2024. Dies ist nicht die aktuelle Fassung.</w:t>
      </w:r>
    </w:p>
    <w:p>
      <w:r>
        <w:t xml:space="preserve">Diese Verordnung tritt am Tag nach der Verkündung in Kraft. Sie tritt am 31. Dezember 2023 außer Kraft.</w:t>
      </w:r>
    </w:p>
    <w:p>
      <w:r>
        <w:rPr>
          <w:color w:val="555555"/>
          <w:sz w:val="17"/>
        </w:rPr>
        <w:t xml:space="preserve">Zitiervorschlag: § 10 MedBVSV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https://recht.nulegal.eu/gesetze/MedBVSV/10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