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MechatronikerAusbV — Zusatzqualifikationen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in § 3 Absatz 2 beschriebene Ausbildungsberufsbild hinaus kann die Ausbildung in einer oder mehreren der folgenden Zusatzqualifikationen vereinbart werden:</w:t>
      </w:r>
    </w:p>
    <w:p>
      <w:pPr>
        <w:ind w:left="420"/>
      </w:pPr>
      <w:r>
        <w:t xml:space="preserve">1. Digitale Vernetzung,</w:t>
      </w:r>
    </w:p>
    <w:p>
      <w:pPr>
        <w:ind w:left="420"/>
      </w:pPr>
      <w:r>
        <w:t xml:space="preserve">2. Programmierung,</w:t>
      </w:r>
    </w:p>
    <w:p>
      <w:pPr>
        <w:ind w:left="420"/>
      </w:pPr>
      <w:r>
        <w:t xml:space="preserve">3. IT-Sicherheit und</w:t>
      </w:r>
    </w:p>
    <w:p>
      <w:pPr>
        <w:ind w:left="420"/>
      </w:pPr>
      <w:r>
        <w:t xml:space="preserve">4. Additive Fertigungsverfahren.</w:t>
      </w:r>
    </w:p>
    <w:p>
      <w:r>
        <w:rPr>
          <w:color w:val="555555"/>
          <w:sz w:val="17"/>
        </w:rPr>
        <w:t xml:space="preserve">Zitiervorschlag: § 9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