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MechatronikerAusbV — Abschlussprüfung</w:t>
      </w:r>
    </w:p>
    <w:p>
      <w:r>
        <w:rPr>
          <w:color w:val="555555"/>
          <w:sz w:val="18"/>
        </w:rPr>
        <w:t xml:space="preserve">Mechatroniker-Ausbildungsverordnung</w:t>
      </w:r>
    </w:p>
    <w:p>
      <w:r>
        <w:rPr>
          <w:color w:val="555555"/>
          <w:sz w:val="18"/>
        </w:rPr>
        <w:t xml:space="preserve">Stand: 10.06.2019 (konsolidierte Textfassung, kein amtliches Inkrafttretensdatum)</w:t>
      </w:r>
    </w:p>
    <w:p>
      <w:r>
        <w:t xml:space="preserve">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Fertigkeiten beherrscht, die notwendigen beruflichen Kenntnisse und Fähigkeiten besitzt und mit dem im Berufsschulunterricht zu vermittelnden, für die Berufsausbildung wesentlichen Lehrstoff vertraut ist. Die Ausbildungsordnung ist zugrunde zu legen. Dabei sollen Qualifikationen, die bereits Gegenstand von Teil 1 der Abschlussprüfung waren, in Teil 2 der Abschlussprüfung nur insoweit einbezogen werden, als es für die Feststellung der Berufsfähigkeit nach § 38 des Berufsbildungsgesetzes erforderlich ist.</w:t>
      </w:r>
    </w:p>
    <w:p>
      <w:r>
        <w:rPr>
          <w:color w:val="555555"/>
          <w:sz w:val="17"/>
        </w:rPr>
        <w:t xml:space="preserve">Zitiervorschlag: § 5 MechatronikerAusbV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https://recht.nulegal.eu/gesetze/MechatronikerAusbV/5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