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MechatronikerAusbV — Bestandsschutz</w:t>
      </w:r>
    </w:p>
    <w:p>
      <w:r>
        <w:rPr>
          <w:color w:val="555555"/>
          <w:sz w:val="18"/>
        </w:rPr>
        <w:t xml:space="preserve">Mechatroniker-Ausbildungsverordnung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vor dem 1. August 2018 bereits bestehen, ist die Mechatroniker-Ausbildungsverordnung vom 21. Juli 2011 (BGBl. I S. 1516, 1888) weiter anzuwenden.</w:t>
      </w:r>
    </w:p>
    <w:p>
      <w:r>
        <w:rPr>
          <w:color w:val="555555"/>
          <w:sz w:val="17"/>
        </w:rPr>
        <w:t xml:space="preserve">Zitiervorschlag: § 17 MechatronikerAusbV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https://recht.nulegal.eu/gesetze/MechatronikerAusbV/17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