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MeMBV — Inkrafttreten</w:t>
      </w:r>
    </w:p>
    <w:p>
      <w:r>
        <w:rPr>
          <w:color w:val="555555"/>
          <w:sz w:val="18"/>
        </w:rPr>
        <w:t xml:space="preserve">Methodenbewertungsverordnung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2016 in Kraft.</w:t>
      </w:r>
    </w:p>
    <w:p>
      <w:r>
        <w:rPr>
          <w:color w:val="555555"/>
          <w:sz w:val="17"/>
        </w:rPr>
        <w:t xml:space="preserve">Zitiervorschlag: § 4 MeMBV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https://recht.nulegal.eu/gesetze/MeMBV/4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