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MeMBV — Geltungsbereich</w:t>
      </w:r>
    </w:p>
    <w:p>
      <w:r>
        <w:rPr>
          <w:color w:val="555555"/>
          <w:sz w:val="18"/>
        </w:rPr>
        <w:t xml:space="preserve">Methodenbewertungsverordnung</w:t>
      </w:r>
    </w:p>
    <w:p>
      <w:r>
        <w:rPr>
          <w:color w:val="555555"/>
          <w:sz w:val="18"/>
        </w:rPr>
        <w:t xml:space="preserve">Stand: 05.08.2026 (konsolidierte Textfassung, kein amtliches Inkrafttretensdatum)</w:t>
      </w:r>
    </w:p>
    <w:p>
      <w:r>
        <w:t xml:space="preserve">Die Verordnung regelt nähere Kriterien zur Bestimmung der in § 137h Absatz 2 Satz 1 des Fünften Buches Sozialgesetzbuch genannten Voraussetzungen des Verfahrens zur Bewertung neuer Untersuchungs- und Behandlungsmethoden.</w:t>
      </w:r>
    </w:p>
    <w:p>
      <w:r>
        <w:rPr>
          <w:color w:val="555555"/>
          <w:sz w:val="17"/>
        </w:rPr>
        <w:t xml:space="preserve">Zitiervorschlag: § 1 MeMBV</w:t>
      </w:r>
    </w:p>
    <w:p>
      <w:r>
        <w:rPr>
          <w:color w:val="555555"/>
          <w:sz w:val="17"/>
        </w:rPr>
        <w:t xml:space="preserve">Quelle: Bundesamt für Justiz, abgerufen 05.08.2026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https://recht.nulegal.eu/gesetze/MeMBV/1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