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MeAnlG — Entgelt</w:t>
      </w:r>
    </w:p>
    <w:p>
      <w:r>
        <w:rPr>
          <w:color w:val="555555"/>
          <w:sz w:val="18"/>
        </w:rPr>
        <w:t xml:space="preserve">Meliorationsanlagengesetz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Grundstückseigentümer kann von dem Eigentümer der Anlage für die künftige Nutzung ein Entgelt in der Höhe verlangen, wie es für die Bestellung einer Dienstbarkeit mit dem in § 3 Abs. 1 bezeichneten Inhalt üblich ist.</w:t>
      </w:r>
    </w:p>
    <w:p>
      <w:r>
        <w:t xml:space="preserve">(2) Der Anspruch nach Absatz 1 wird fällig, wenn der Grundstückseigentümer der Belastung seines Grundstücks zugestimmt hat. Der Eigentümer der Anlage kann im Falle einer nach Absatz 1 geforderten einmaligen Zahlung eine zinslose Stundung der Hälfte des zu zahlenden Betrages auf zwei Jahre verlangen.</w:t>
      </w:r>
    </w:p>
    <w:p>
      <w:r>
        <w:rPr>
          <w:color w:val="555555"/>
          <w:sz w:val="17"/>
        </w:rPr>
        <w:t xml:space="preserve">Zitiervorschlag: § 9 MeAnlG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https://recht.nulegal.eu/gesetze/MeAnlG/9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