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MeAnlG — Wegnahmerecht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Eigentümer der Anlage ist berechtigt, die Anlage vom Grundstück zu trennen und sich anzueignen, wenn das Eigentum an der Anlage nach § 10 auf den Grundstückseigentümer übergegangen ist und eine Dienstbarkeit nicht bestellt wird. Auf das Wegnahmerecht nach Satz 1 ist § 258 des Bürgerlichen Gesetzbuchs anzuwenden.</w:t>
      </w:r>
    </w:p>
    <w:p>
      <w:r>
        <w:t xml:space="preserve">(2) Das Wegnahmerecht nach Absatz 1 ist ausgeschlossen, wenn die Wegnahme für den Eigentümer der Anlage keinen Nutzen hat und diesem vom Grundstückseigentümer der Wert ersetzt wird, den die Anlage zum Zeitpunkt der Wegnahme hat.</w:t>
      </w:r>
    </w:p>
    <w:p>
      <w:r>
        <w:rPr>
          <w:color w:val="555555"/>
          <w:sz w:val="17"/>
        </w:rPr>
        <w:t xml:space="preserve">Zitiervorschlag: § 8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