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MeAnlG — Bestehenbleiben in der Zwangsvollstreckung</w:t>
      </w:r>
    </w:p>
    <w:p>
      <w:r>
        <w:rPr>
          <w:color w:val="555555"/>
          <w:sz w:val="18"/>
        </w:rPr>
        <w:t xml:space="preserve">Meliorationsanlagengesetz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nach § 3 Abs. 1 bestellte Dienstbarkeit bleibt im Falle einer Zwangsversteigerung in das Grundstück auch dann bestehen, wenn sie bei der Feststellung des geringsten Gebots nicht berücksichtigt ist. Satz 1 ist auf Zwangsversteigerungsverfahren, die nach Ablauf des 31. Dezember 2005 beantragt werden, nicht anzuwenden.</w:t>
      </w:r>
    </w:p>
    <w:p>
      <w:r>
        <w:rPr>
          <w:color w:val="555555"/>
          <w:sz w:val="17"/>
        </w:rPr>
        <w:t xml:space="preserve">Zitiervorschlag: § 6 MeAnlG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https://recht.nulegal.eu/gesetze/MeAnlG/6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