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MeAnlG — Haftung des Erwerbers</w:t>
      </w:r>
    </w:p>
    <w:p>
      <w:r>
        <w:rPr>
          <w:color w:val="555555"/>
          <w:sz w:val="18"/>
        </w:rPr>
        <w:t xml:space="preserve">Meliorationsanlagengesetz</w:t>
      </w:r>
    </w:p>
    <w:p>
      <w:r>
        <w:rPr>
          <w:color w:val="555555"/>
          <w:sz w:val="18"/>
        </w:rPr>
        <w:t xml:space="preserve">Stand: 10.06.2019 (konsolidierte Textfassung, kein amtliches Inkrafttretensdatum)</w:t>
      </w:r>
    </w:p>
    <w:p>
      <w:r>
        <w:t xml:space="preserve">Der Erwerber der Anlage ist dem Grundstückseigentümer gegenüber nicht zur Beseitigung derjenigen Beeinträchtigungen des Grundstücks aus einem nicht ordnungsgemäßen Zustand der Anlage verpflichtet, die vor dem Übergang der Gefahr auf den Erwerber eingetreten sind.</w:t>
      </w:r>
    </w:p>
    <w:p>
      <w:r>
        <w:rPr>
          <w:color w:val="555555"/>
          <w:sz w:val="17"/>
        </w:rPr>
        <w:t xml:space="preserve">Zitiervorschlag: § 4 MeAnlG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https://recht.nulegal.eu/gesetze/MeAnlG/4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