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MeAnlG — Verhältnis zu anderen Bestimmungen</w:t>
      </w:r>
    </w:p>
    <w:p>
      <w:r>
        <w:rPr>
          <w:color w:val="555555"/>
          <w:sz w:val="18"/>
        </w:rPr>
        <w:t xml:space="preserve">Meliorationsanlagengesetz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Ansprüche nach diesem Gesetz können nicht geltend gemacht werden, soweit ein Verfahren nach dem Flurbereinigungsgesetz oder ein Verfahren zur Feststellung und Neuordnung der Eigentumsverhältnisse nach Abschnitt 8 des Landwirtschaftsanpassungsgesetzes angeordnet ist.</w:t>
      </w:r>
    </w:p>
    <w:p>
      <w:r>
        <w:t xml:space="preserve">(2) Die Regelungen über die Begründung von Mitgliedschaften in Wasser- und Bodenverbänden und die sich daraus ergebenden Rechtsfolgen bleiben unberührt.</w:t>
      </w:r>
    </w:p>
    <w:p>
      <w:r>
        <w:rPr>
          <w:color w:val="555555"/>
          <w:sz w:val="17"/>
        </w:rPr>
        <w:t xml:space="preserve">Zitiervorschlag: § 17 MeAnlG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https://recht.nulegal.eu/gesetze/MeAnlG/17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