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MeAnlG — Eigentumsbestimmung nach den Wassergesetzen</w:t>
      </w:r>
    </w:p>
    <w:p>
      <w:r>
        <w:rPr>
          <w:color w:val="555555"/>
          <w:sz w:val="18"/>
        </w:rPr>
        <w:t xml:space="preserve">Meliorationsanlagengesetz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der §§ 3 bis 15 sind auf offene Gewässer nicht anzuwenden. Die landesgesetzlichen Regelungen über das Eigentum an oberirdischen Gewässern bleiben unberührt.</w:t>
      </w:r>
    </w:p>
    <w:p>
      <w:r>
        <w:rPr>
          <w:color w:val="555555"/>
          <w:sz w:val="17"/>
        </w:rPr>
        <w:t xml:space="preserve">Zitiervorschlag: § 16 MeAnlG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https://recht.nulegal.eu/gesetze/MeAnlG/16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